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SYLABUS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dotyczy cyklu kształcenia od roku 2025/2026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  <w:t xml:space="preserve">Rok akademicki 2025/26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Podstawowe informacje o przedmiocie</w:t>
      </w: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-14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4"/>
        <w:gridCol w:w="7087"/>
        <w:tblGridChange w:id="0">
          <w:tblGrid>
            <w:gridCol w:w="2694"/>
            <w:gridCol w:w="708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Praktyka studyjna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przedmiotu*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B6/JII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prowadzącej kierunek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Muzyki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realizującej przedmiot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Muzyki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i Muzyka Rozrywkowa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 stopień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praktyczny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stacjonarne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semestr/y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II rok – 3 semestr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przedmiot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podstawowy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wykładowy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olski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mgr inż. Marek Miller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osoby prowadzącej / osób prowadzących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mgr inż. Marek Miller</w:t>
            </w:r>
          </w:p>
        </w:tc>
      </w:tr>
    </w:tbl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284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1.1.Formy zajęć dydaktycznych, wymiar godzin i punktów ECTS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47.000000000002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  <w:tblGridChange w:id="0">
          <w:tblGrid>
            <w:gridCol w:w="1048"/>
            <w:gridCol w:w="921"/>
            <w:gridCol w:w="801"/>
            <w:gridCol w:w="851"/>
            <w:gridCol w:w="811"/>
            <w:gridCol w:w="827"/>
            <w:gridCol w:w="780"/>
            <w:gridCol w:w="957"/>
            <w:gridCol w:w="1206"/>
            <w:gridCol w:w="15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(jakie?)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Liczba pkt. ECTS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</w:t>
        <w:tab/>
        <w:t xml:space="preserve">Sposób realizacji zajęć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zajęcia w formie tradycyjnej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</w:t>
        <w:tab/>
        <w:t xml:space="preserve">Forma zaliczenia przedmiotu  (z toku)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zaliczenie z oceną - 3 semestr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2.Wymagania wstępne </w:t>
      </w:r>
    </w:p>
    <w:tbl>
      <w:tblPr>
        <w:tblStyle w:val="Table3"/>
        <w:tblW w:w="9670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70"/>
        <w:tblGridChange w:id="0">
          <w:tblGrid>
            <w:gridCol w:w="967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Posiadanie ogólnej wiedzy o stylach w szeroko rozumianej muzyce rozrywkowej.</w:t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Umiejętność pracy w grupie i rozumienie podstaw procesu rejestrowania materiału dźwiękowego w warunkach studyjnych i live.</w:t>
            </w:r>
          </w:p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Ogólne rozeznanie w tematyce komponowania i aranżowania utworów muzycznych.</w:t>
            </w:r>
          </w:p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Praca z sesjami nagraniowymi w programów Digital Audio Workstation (DAW).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1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cele, efekty uczenia się , treści Programowe i stosowane metody Dydaktyczne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Cele przedmiotu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70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51"/>
        <w:gridCol w:w="8819"/>
        <w:tblGridChange w:id="0">
          <w:tblGrid>
            <w:gridCol w:w="851"/>
            <w:gridCol w:w="8819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C1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Przygotowanie studentów do do późniejszej pracy nad własnymi utworami muzycznymi w studio nagrań w charakterze wykonawców, muzyków sesyjnych oraz producentów muzycznych i realizatorów własnych nagrań.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Przygotowanie studentów do samodzielnej pracy z materiałami muzycznymi live jako realizatorów wydarzeń muzycznych live oraz producentów muzycznych.</w:t>
            </w:r>
          </w:p>
        </w:tc>
      </w:tr>
    </w:tbl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="240" w:lineRule="auto"/>
        <w:ind w:left="426" w:firstLine="0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z w:val="24"/>
          <w:szCs w:val="24"/>
          <w:rtl w:val="0"/>
        </w:rPr>
        <w:t xml:space="preserve">3.2 Efekty uczenia się dla przedmiotu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70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01"/>
        <w:gridCol w:w="6096"/>
        <w:gridCol w:w="1873"/>
        <w:tblGridChange w:id="0">
          <w:tblGrid>
            <w:gridCol w:w="1701"/>
            <w:gridCol w:w="6096"/>
            <w:gridCol w:w="1873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(efekt uczenia się)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Treść efektu uczenia się zdefiniowanego dla przedmiotu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Odniesienie do efektów  kierunkowych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rFonts w:ascii="Corbel" w:cs="Corbel" w:eastAsia="Corbel" w:hAnsi="Corbel"/>
                <w:smallCaps w:val="1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posiada niezbędną wiedzę potrzebną do praktycznej realizacji dźwięku za pomocą konsolet mikserskich.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</w:p>
        </w:tc>
        <w:tc>
          <w:tcPr/>
          <w:p w:rsidR="00000000" w:rsidDel="00000000" w:rsidP="00000000" w:rsidRDefault="00000000" w:rsidRPr="00000000" w14:paraId="00000058">
            <w:pPr>
              <w:rPr>
                <w:rFonts w:ascii="Corbel" w:cs="Corbel" w:eastAsia="Corbel" w:hAnsi="Corbel"/>
                <w:smallCaps w:val="1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szczegółowo zna zasady i reguły obowiązujące podczas  zapisu audio i obróbki materiału muzycznego za pomocą konsolet mikserskich w wydaniu live i  w programie DAW.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</w:p>
        </w:tc>
        <w:tc>
          <w:tcPr/>
          <w:p w:rsidR="00000000" w:rsidDel="00000000" w:rsidP="00000000" w:rsidRDefault="00000000" w:rsidRPr="00000000" w14:paraId="0000005B">
            <w:pPr>
              <w:rPr>
                <w:rFonts w:ascii="Corbel" w:cs="Corbel" w:eastAsia="Corbel" w:hAnsi="Corbel"/>
                <w:smallCaps w:val="1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łączenie wiedzy teoretycznej i praktycznej podczas realizacji wydarzeń artystycznych w formacie live.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rFonts w:ascii="Corbel" w:cs="Corbel" w:eastAsia="Corbel" w:hAnsi="Corbel"/>
                <w:smallCaps w:val="1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samodzielnie, poprawnie i zgodnie z danym stylem muzycznym realizuje mix materiału muzycznego z wykorzystaniem konsolety live.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rFonts w:ascii="Corbel" w:cs="Corbel" w:eastAsia="Corbel" w:hAnsi="Corbel"/>
                <w:smallCaps w:val="1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posiada umiejętności umożliwiające realizację projektów artystycznych z wykorzystaniem technik rejestracji i obróbki dźwięku live.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</w:p>
        </w:tc>
        <w:tc>
          <w:tcPr/>
          <w:p w:rsidR="00000000" w:rsidDel="00000000" w:rsidP="00000000" w:rsidRDefault="00000000" w:rsidRPr="00000000" w14:paraId="00000064">
            <w:pPr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potrafi odpowiednio dobrać  kolejność prac realizatorskich zgodnie z daną potrzebą oraz zastanymi warunkami. </w:t>
            </w:r>
          </w:p>
        </w:tc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EK_07</w:t>
            </w:r>
          </w:p>
        </w:tc>
        <w:tc>
          <w:tcPr/>
          <w:p w:rsidR="00000000" w:rsidDel="00000000" w:rsidP="00000000" w:rsidRDefault="00000000" w:rsidRPr="00000000" w14:paraId="00000067">
            <w:pPr>
              <w:rPr>
                <w:rFonts w:ascii="Corbel" w:cs="Corbel" w:eastAsia="Corbel" w:hAnsi="Corbel"/>
                <w:smallCaps w:val="1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doskonali własne umiejętności obróbki dźwięku live poprzez samodzielne szukanie nowych technik i rozwiązań.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EK_08</w:t>
            </w:r>
          </w:p>
        </w:tc>
        <w:tc>
          <w:tcPr/>
          <w:p w:rsidR="00000000" w:rsidDel="00000000" w:rsidP="00000000" w:rsidRDefault="00000000" w:rsidRPr="00000000" w14:paraId="0000006A">
            <w:pPr>
              <w:rPr>
                <w:rFonts w:ascii="Corbel" w:cs="Corbel" w:eastAsia="Corbel" w:hAnsi="Corbel"/>
                <w:smallCaps w:val="1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opracowuje autorskie prezentacje muzyczne z wykorzystaniem technologii live oraz możliwości programów DAW.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 Treści programowe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wykładu </w:t>
      </w:r>
    </w:p>
    <w:p w:rsidR="00000000" w:rsidDel="00000000" w:rsidP="00000000" w:rsidRDefault="00000000" w:rsidRPr="00000000" w14:paraId="00000072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ćwiczeń audytoryjnych, konwersatoryjnych, laboratoryjnych, zajęć praktycznych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639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Ogólna orientacja we współczesnej technice nagraniowej i nagłośnieniowej.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Doskonalenie umiejętności praktycznej pracy w studio w charakterze muzyka sesyjnego.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Doskonalenie umiejętności praktycznej pracy w studio w charakterze producenta muzycznego.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Doskonalenie umiejętności realizacji live materiałów muzycznych.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Umiejętność analizy słuchowej nagrań własnych oraz ogólnie dostępnych.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Świadoma ocena zalet i wad produkcji muzycznych w kontekście technicznym.</w:t>
            </w:r>
          </w:p>
        </w:tc>
      </w:tr>
    </w:tbl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Metody dydaktyczne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0" w:line="240" w:lineRule="auto"/>
        <w:rPr>
          <w:rFonts w:ascii="Corbel" w:cs="Corbel" w:eastAsia="Corbel" w:hAnsi="Corbel"/>
        </w:rPr>
      </w:pPr>
      <w:r w:rsidDel="00000000" w:rsidR="00000000" w:rsidRPr="00000000">
        <w:rPr>
          <w:rFonts w:ascii="Corbel" w:cs="Corbel" w:eastAsia="Corbel" w:hAnsi="Corbel"/>
          <w:rtl w:val="0"/>
        </w:rPr>
        <w:t xml:space="preserve">ćwiczenia praktyczne, pokaz, dyskusja dydaktyczna</w:t>
      </w:r>
    </w:p>
    <w:p w:rsidR="00000000" w:rsidDel="00000000" w:rsidP="00000000" w:rsidRDefault="00000000" w:rsidRPr="00000000" w14:paraId="00000080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METODY I KRYTERIA OCENY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Sposoby weryfikacji efektów uczenia się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639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5"/>
        <w:gridCol w:w="5528"/>
        <w:gridCol w:w="2126"/>
        <w:tblGridChange w:id="0">
          <w:tblGrid>
            <w:gridCol w:w="1985"/>
            <w:gridCol w:w="5528"/>
            <w:gridCol w:w="2126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Symbol efektu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oceny efektów uczenia się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(np.: kolokwium, egzamin ustny, egzamin pisemny, projekt, sprawozdanie, obserwacja w trakcie zajęć)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dydaktycznych 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(w, ćw, …)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01 </w:t>
            </w:r>
          </w:p>
        </w:tc>
        <w:tc>
          <w:tcPr/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1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kolokwium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02</w:t>
            </w:r>
          </w:p>
        </w:tc>
        <w:tc>
          <w:tcPr/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rozmowa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03</w:t>
            </w:r>
          </w:p>
        </w:tc>
        <w:tc>
          <w:tcPr/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04</w:t>
            </w:r>
          </w:p>
        </w:tc>
        <w:tc>
          <w:tcPr/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 praktyczny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05</w:t>
            </w:r>
          </w:p>
        </w:tc>
        <w:tc>
          <w:tcPr/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projekt praktyczny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06</w:t>
            </w:r>
          </w:p>
        </w:tc>
        <w:tc>
          <w:tcPr/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07</w:t>
            </w:r>
          </w:p>
        </w:tc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08</w:t>
            </w:r>
          </w:p>
        </w:tc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 praktyczny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</w:tbl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Warunki zaliczenia przedmiotu (kryteria oceniania)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670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70"/>
        <w:tblGridChange w:id="0">
          <w:tblGrid>
            <w:gridCol w:w="967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 NA OCENĘ (SEMESTR 3).</w:t>
            </w:r>
          </w:p>
          <w:p w:rsidR="00000000" w:rsidDel="00000000" w:rsidP="00000000" w:rsidRDefault="00000000" w:rsidRPr="00000000" w14:paraId="000000A6">
            <w:pPr>
              <w:spacing w:after="0" w:line="24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Ocenę stanowią procentowo:</w:t>
            </w:r>
          </w:p>
          <w:p w:rsidR="00000000" w:rsidDel="00000000" w:rsidP="00000000" w:rsidRDefault="00000000" w:rsidRPr="00000000" w14:paraId="000000A7">
            <w:pPr>
              <w:spacing w:after="0" w:line="24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40 % - obecność na zajęciach,</w:t>
            </w:r>
          </w:p>
          <w:p w:rsidR="00000000" w:rsidDel="00000000" w:rsidP="00000000" w:rsidRDefault="00000000" w:rsidRPr="00000000" w14:paraId="000000A8">
            <w:pPr>
              <w:spacing w:after="0" w:line="24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30% - ocena ciągła z aktywności na zajęciach, 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30% - ocena samodzielnie przeprowadzonych zadań projektowych ujętych w szczegółowych harmonogramach prowadzących zajęcia.</w:t>
            </w:r>
          </w:p>
          <w:p w:rsidR="00000000" w:rsidDel="00000000" w:rsidP="00000000" w:rsidRDefault="00000000" w:rsidRPr="00000000" w14:paraId="000000AA">
            <w:pPr>
              <w:spacing w:after="0" w:line="240" w:lineRule="auto"/>
              <w:rPr/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Minimum dla uzyskania zaliczenia stanowi 75% ogólnej sumy punktów procentowych.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CAŁKOWITY NAKŁAD PRACY STUDENTA POTRZEBNY DO OSIĄGNIĘCIA ZAŁOŻONYCH EFEKTÓW W GODZINACH ORAZ PUNKTACH ECTS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639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62"/>
        <w:gridCol w:w="4677"/>
        <w:tblGridChange w:id="0">
          <w:tblGrid>
            <w:gridCol w:w="4962"/>
            <w:gridCol w:w="467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aktywności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Średnia liczba godzin</w:t>
            </w:r>
            <w:r w:rsidDel="00000000" w:rsidR="00000000" w:rsidRPr="00000000">
              <w:rPr>
                <w:rFonts w:ascii="Corbel" w:cs="Corbel" w:eastAsia="Corbel" w:hAnsi="Corbel"/>
                <w:b w:val="1"/>
                <w:sz w:val="24"/>
                <w:szCs w:val="24"/>
                <w:rtl w:val="0"/>
              </w:rPr>
              <w:t xml:space="preserve"> na</w:t>
            </w: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zrealizowanie aktywności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kontaktowe wynikające z harmonogramu studiów</w:t>
            </w:r>
          </w:p>
        </w:tc>
        <w:tc>
          <w:tcPr/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z udziałem nauczyciela akademickiego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(udział w konsultacjach, egzaminie)</w:t>
            </w:r>
          </w:p>
        </w:tc>
        <w:tc>
          <w:tcPr/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niekontaktowe – praca własna studenta (przygotowanie do zajęć, egzaminu, napisanie referatu itp.)</w:t>
            </w:r>
          </w:p>
        </w:tc>
        <w:tc>
          <w:tcPr/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</w:p>
        </w:tc>
        <w:tc>
          <w:tcPr/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SUMARYCZNA LICZBA PUNKTÓW ECTS</w:t>
            </w:r>
          </w:p>
        </w:tc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Należy uwzględnić, że 1 pkt ECTS odpowiada 25-30 godzin całkowitego nakładu pracy studenta.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PRAKTYKI ZAWODOWE W RAMACH PRZEDMIOTU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7513.0" w:type="dxa"/>
        <w:jc w:val="left"/>
        <w:tblInd w:w="5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44"/>
        <w:gridCol w:w="3969"/>
        <w:tblGridChange w:id="0">
          <w:tblGrid>
            <w:gridCol w:w="3544"/>
            <w:gridCol w:w="3969"/>
          </w:tblGrid>
        </w:tblGridChange>
      </w:tblGrid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wymiar godzinowy</w:t>
            </w:r>
          </w:p>
        </w:tc>
        <w:tc>
          <w:tcPr/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i formy odbywania praktyk </w:t>
            </w:r>
          </w:p>
        </w:tc>
        <w:tc>
          <w:tcPr/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LITERATURA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513.0" w:type="dxa"/>
        <w:jc w:val="left"/>
        <w:tblInd w:w="5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513"/>
        <w:tblGridChange w:id="0">
          <w:tblGrid>
            <w:gridCol w:w="7513"/>
          </w:tblGrid>
        </w:tblGridChange>
      </w:tblGrid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podstawowa: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K. Sztekmiler,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Podstawy nagłośnienia i realizacji nagrań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 wyd. WKiŁ, Warszawa 2021</w:t>
            </w:r>
          </w:p>
          <w:p w:rsidR="00000000" w:rsidDel="00000000" w:rsidP="00000000" w:rsidRDefault="00000000" w:rsidRPr="00000000" w14:paraId="000000CD">
            <w:pPr>
              <w:spacing w:after="0" w:line="24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F. Alton Everest, </w:t>
            </w:r>
            <w:r w:rsidDel="00000000" w:rsidR="00000000" w:rsidRPr="00000000">
              <w:rPr>
                <w:rFonts w:ascii="Corbel" w:cs="Corbel" w:eastAsia="Corbel" w:hAnsi="Corbel"/>
                <w:i w:val="1"/>
                <w:rtl w:val="0"/>
              </w:rPr>
              <w:t xml:space="preserve">Podręcznik akustyki, </w:t>
            </w: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wyd. Sonia Draga, Katowice 2010;</w:t>
            </w:r>
          </w:p>
          <w:p w:rsidR="00000000" w:rsidDel="00000000" w:rsidP="00000000" w:rsidRDefault="00000000" w:rsidRPr="00000000" w14:paraId="000000CE">
            <w:pPr>
              <w:spacing w:after="0" w:line="240" w:lineRule="auto"/>
              <w:rPr/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J. Oleszkowicz, </w:t>
            </w:r>
            <w:r w:rsidDel="00000000" w:rsidR="00000000" w:rsidRPr="00000000">
              <w:rPr>
                <w:rFonts w:ascii="Corbel" w:cs="Corbel" w:eastAsia="Corbel" w:hAnsi="Corbel"/>
                <w:i w:val="1"/>
                <w:rtl w:val="0"/>
              </w:rPr>
              <w:t xml:space="preserve">Muzyka elektronika Informatyka, </w:t>
            </w: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CEA Warszawa 2010;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uzupełniająca: </w:t>
            </w:r>
          </w:p>
          <w:p w:rsidR="00000000" w:rsidDel="00000000" w:rsidP="00000000" w:rsidRDefault="00000000" w:rsidRPr="00000000" w14:paraId="000000D0">
            <w:pPr>
              <w:spacing w:after="0" w:line="240" w:lineRule="auto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Peter Kirn, </w:t>
            </w:r>
            <w:r w:rsidDel="00000000" w:rsidR="00000000" w:rsidRPr="00000000">
              <w:rPr>
                <w:rFonts w:ascii="Corbel" w:cs="Corbel" w:eastAsia="Corbel" w:hAnsi="Corbel"/>
                <w:i w:val="1"/>
                <w:rtl w:val="0"/>
              </w:rPr>
              <w:t xml:space="preserve">Real World Digital Audio</w:t>
            </w: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, Helion 2007;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M. Drobner, </w:t>
            </w:r>
            <w:r w:rsidDel="00000000" w:rsidR="00000000" w:rsidRPr="00000000">
              <w:rPr>
                <w:rFonts w:ascii="Corbel" w:cs="Corbel" w:eastAsia="Corbel" w:hAnsi="Corbel"/>
                <w:i w:val="1"/>
                <w:rtl w:val="0"/>
              </w:rPr>
              <w:t xml:space="preserve">Instrumentoznawstwo i akustyka</w:t>
            </w: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, Kraków 1975;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Edukacja artystyczna a rzeczywistość medialna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 pod. red. R. Ławrowska, B. Muchacka, Kraków 2009.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Akceptacja Kierownika Jednostki lub osoby upoważnionej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Normalny" w:default="1">
    <w:name w:val="Normal"/>
    <w:qFormat w:val="1"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Akapitzlist">
    <w:name w:val="List Paragraph"/>
    <w:basedOn w:val="Normalny"/>
    <w:uiPriority w:val="34"/>
    <w:qFormat w:val="1"/>
    <w:rsid w:val="00BD66E9"/>
    <w:pPr>
      <w:ind w:left="720"/>
      <w:contextualSpacing w:val="1"/>
    </w:pPr>
  </w:style>
  <w:style w:type="paragraph" w:styleId="Tytu">
    <w:name w:val="Title"/>
    <w:basedOn w:val="Normalny"/>
    <w:link w:val="TytuZnak"/>
    <w:qFormat w:val="1"/>
    <w:rsid w:val="00BD66E9"/>
    <w:pPr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 w:val="1"/>
      <w:bCs w:val="1"/>
      <w:lang w:eastAsia="pl-PL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F78E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 w:val="1"/>
    <w:rsid w:val="00CF78ED"/>
    <w:rPr>
      <w:rFonts w:ascii="Tahoma" w:cs="Tahoma" w:eastAsia="Calibri" w:hAnsi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 w:val="1"/>
    <w:unhideWhenUsed w:val="1"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 w:val="1"/>
    <w:rsid w:val="0085747A"/>
    <w:rPr>
      <w:rFonts w:ascii="Calibri" w:cs="Times New Roman" w:hAnsi="Calibri"/>
      <w:sz w:val="20"/>
      <w:szCs w:val="20"/>
    </w:rPr>
  </w:style>
  <w:style w:type="character" w:styleId="Odwoanieprzypisudolnego">
    <w:name w:val="footnote reference"/>
    <w:uiPriority w:val="99"/>
    <w:semiHidden w:val="1"/>
    <w:unhideWhenUsed w:val="1"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unktygwne" w:customStyle="1">
    <w:name w:val="Punkty główne"/>
    <w:basedOn w:val="Normalny"/>
    <w:rsid w:val="0085747A"/>
    <w:pPr>
      <w:spacing w:after="60" w:before="240" w:line="240" w:lineRule="auto"/>
    </w:pPr>
    <w:rPr>
      <w:rFonts w:ascii="Times New Roman" w:hAnsi="Times New Roman"/>
      <w:b w:val="1"/>
      <w:smallCaps w:val="1"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after="40" w:before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after="40" w:before="40" w:line="240" w:lineRule="auto"/>
    </w:pPr>
    <w:rPr>
      <w:rFonts w:ascii="Times New Roman" w:hAnsi="Times New Roman"/>
      <w:b w:val="1"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 w:val="1"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after="0" w:before="12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40" w:before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 w:val="1"/>
    <w:unhideWhenUsed w:val="1"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 w:val="1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 w:val="1"/>
    <w:rsid w:val="0085747A"/>
  </w:style>
  <w:style w:type="character" w:styleId="Hipercze">
    <w:name w:val="Hyperlink"/>
    <w:uiPriority w:val="99"/>
    <w:unhideWhenUsed w:val="1"/>
    <w:rsid w:val="00B819C8"/>
    <w:rPr>
      <w:color w:val="0000ff"/>
      <w:u w:val="single"/>
    </w:rPr>
  </w:style>
  <w:style w:type="paragraph" w:styleId="Bezodstpw">
    <w:name w:val="No Spacing"/>
    <w:uiPriority w:val="1"/>
    <w:qFormat w:val="1"/>
    <w:rsid w:val="00C61DC5"/>
    <w:rPr>
      <w:rFonts w:ascii="Calibri" w:hAnsi="Calibri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tBIF8ORq5fLkKAb6eVWmFTvWIw==">CgMxLjA4AHIhMVdyWlVxR0U3Vjk0anNmT2w1cC1jTjIyN2oxZGlLZXVj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2020-01-12T15:37:00Z</dcterms:created>
  <dc:creator>User</dc:creator>
</cp:coreProperties>
</file>